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4" w:rsidRDefault="00515684" w:rsidP="00515684">
      <w:pPr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515684">
        <w:rPr>
          <w:rFonts w:ascii="Segoe UI" w:hAnsi="Segoe UI" w:cs="Segoe UI"/>
          <w:b/>
          <w:color w:val="000000"/>
          <w:sz w:val="28"/>
          <w:szCs w:val="28"/>
        </w:rPr>
        <w:t xml:space="preserve">Worksheet for </w:t>
      </w:r>
      <w:r w:rsidR="00D734A4" w:rsidRPr="00515684">
        <w:rPr>
          <w:rFonts w:ascii="Segoe UI" w:hAnsi="Segoe UI" w:cs="Segoe UI"/>
          <w:b/>
          <w:color w:val="000000"/>
          <w:sz w:val="28"/>
          <w:szCs w:val="28"/>
        </w:rPr>
        <w:t>Teachers</w:t>
      </w:r>
      <w:r w:rsidR="00514254" w:rsidRPr="00515684">
        <w:rPr>
          <w:rFonts w:ascii="Segoe UI" w:hAnsi="Segoe UI" w:cs="Segoe UI"/>
          <w:b/>
          <w:color w:val="000000"/>
          <w:sz w:val="28"/>
          <w:szCs w:val="28"/>
        </w:rPr>
        <w:t>:</w:t>
      </w:r>
      <w:r w:rsidRPr="00515684">
        <w:rPr>
          <w:rFonts w:ascii="Segoe UI" w:hAnsi="Segoe UI" w:cs="Segoe UI"/>
          <w:b/>
          <w:color w:val="000000"/>
          <w:sz w:val="28"/>
          <w:szCs w:val="28"/>
        </w:rPr>
        <w:t xml:space="preserve"> Respond to Bullying Effectively</w:t>
      </w:r>
    </w:p>
    <w:p w:rsidR="00515684" w:rsidRPr="00515684" w:rsidRDefault="00515684" w:rsidP="00515684">
      <w:pPr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6B29C4" w:rsidRDefault="00D734A4" w:rsidP="00D734A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Watch video “</w:t>
      </w:r>
      <w:proofErr w:type="spellStart"/>
      <w:r w:rsidRPr="00B85261">
        <w:rPr>
          <w:rFonts w:cs="Helvetica"/>
          <w:i/>
          <w:color w:val="555555"/>
          <w:kern w:val="36"/>
          <w:lang w:val="en"/>
        </w:rPr>
        <w:t>Misdirections</w:t>
      </w:r>
      <w:proofErr w:type="spellEnd"/>
      <w:r w:rsidRPr="00B85261">
        <w:rPr>
          <w:rFonts w:cs="Helvetica"/>
          <w:i/>
          <w:color w:val="555555"/>
          <w:kern w:val="36"/>
          <w:lang w:val="en"/>
        </w:rPr>
        <w:t xml:space="preserve"> in Bullying Prevention and Response</w:t>
      </w:r>
      <w:r>
        <w:rPr>
          <w:rFonts w:cs="Helvetica"/>
          <w:i/>
          <w:color w:val="555555"/>
          <w:kern w:val="36"/>
          <w:lang w:val="en"/>
        </w:rPr>
        <w:t>”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3377B">
        <w:rPr>
          <w:rFonts w:ascii="Segoe UI" w:hAnsi="Segoe UI" w:cs="Segoe UI"/>
          <w:color w:val="000000"/>
          <w:sz w:val="20"/>
          <w:szCs w:val="20"/>
        </w:rPr>
        <w:t xml:space="preserve">in which </w:t>
      </w:r>
      <w:r>
        <w:rPr>
          <w:rFonts w:ascii="Segoe UI" w:hAnsi="Segoe UI" w:cs="Segoe UI"/>
          <w:color w:val="000000"/>
          <w:sz w:val="20"/>
          <w:szCs w:val="20"/>
        </w:rPr>
        <w:t>Dr. Catherine Bradshaw talks about 5 common misconceptions about bullying.</w:t>
      </w:r>
    </w:p>
    <w:p w:rsidR="00D734A4" w:rsidRDefault="006B29C4" w:rsidP="00D734A4">
      <w:pPr>
        <w:rPr>
          <w:rFonts w:cs="Segoe UI"/>
          <w:color w:val="000000"/>
          <w:sz w:val="18"/>
          <w:szCs w:val="18"/>
        </w:rPr>
      </w:pPr>
      <w:r>
        <w:rPr>
          <w:rFonts w:cs="Segoe UI"/>
          <w:noProof/>
          <w:color w:val="000000"/>
          <w:sz w:val="18"/>
          <w:szCs w:val="18"/>
        </w:rPr>
        <w:drawing>
          <wp:inline distT="0" distB="0" distL="0" distR="0">
            <wp:extent cx="1146964" cy="863220"/>
            <wp:effectExtent l="0" t="0" r="0" b="0"/>
            <wp:docPr id="15" name="Picture 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isdirections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11" cy="86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Segoe UI"/>
          <w:color w:val="000000"/>
          <w:sz w:val="18"/>
          <w:szCs w:val="18"/>
        </w:rPr>
        <w:t xml:space="preserve">  </w:t>
      </w:r>
      <w:r w:rsidRPr="006B29C4">
        <w:rPr>
          <w:rFonts w:cs="Segoe UI"/>
          <w:color w:val="000000"/>
          <w:sz w:val="18"/>
          <w:szCs w:val="18"/>
        </w:rPr>
        <w:t>http://www.stopbullying.gov/videos/2012/08/misdirections.html</w:t>
      </w:r>
      <w:r w:rsidR="00D734A4">
        <w:rPr>
          <w:rFonts w:cs="Segoe UI"/>
          <w:color w:val="000000"/>
          <w:sz w:val="18"/>
          <w:szCs w:val="18"/>
        </w:rPr>
        <w:fldChar w:fldCharType="begin"/>
      </w:r>
      <w:r w:rsidR="00D734A4">
        <w:rPr>
          <w:rFonts w:cs="Segoe UI"/>
          <w:color w:val="000000"/>
          <w:sz w:val="18"/>
          <w:szCs w:val="18"/>
        </w:rPr>
        <w:instrText>r. C HYPERLINK "</w:instrText>
      </w:r>
      <w:r w:rsidR="00D734A4" w:rsidRPr="00B85261">
        <w:rPr>
          <w:rFonts w:cs="Segoe UI"/>
          <w:color w:val="000000"/>
          <w:sz w:val="18"/>
          <w:szCs w:val="18"/>
        </w:rPr>
        <w:instrText>http://www.stopbullying.gov/videos/2012/08/misdirections.html</w:instrText>
      </w:r>
      <w:r w:rsidR="00D734A4">
        <w:rPr>
          <w:rFonts w:cs="Segoe UI"/>
          <w:color w:val="000000"/>
          <w:sz w:val="18"/>
          <w:szCs w:val="18"/>
        </w:rPr>
        <w:instrText xml:space="preserve">" </w:instrText>
      </w:r>
      <w:r w:rsidR="00D734A4">
        <w:rPr>
          <w:rFonts w:cs="Segoe UI"/>
          <w:color w:val="000000"/>
          <w:sz w:val="18"/>
          <w:szCs w:val="18"/>
        </w:rPr>
        <w:fldChar w:fldCharType="separate"/>
      </w:r>
      <w:r w:rsidR="00D734A4" w:rsidRPr="0004715C">
        <w:rPr>
          <w:rStyle w:val="Hyperlink"/>
          <w:rFonts w:cs="Segoe UI"/>
          <w:sz w:val="18"/>
          <w:szCs w:val="18"/>
        </w:rPr>
        <w:t>http://www.stopbullying.gov/videos/2012/08/misdirections.html</w:t>
      </w:r>
      <w:r w:rsidR="00D734A4">
        <w:rPr>
          <w:rFonts w:cs="Segoe UI"/>
          <w:color w:val="000000"/>
          <w:sz w:val="18"/>
          <w:szCs w:val="18"/>
        </w:rPr>
        <w:fldChar w:fldCharType="end"/>
      </w:r>
    </w:p>
    <w:p w:rsidR="00D734A4" w:rsidRDefault="00F3377B" w:rsidP="00D734A4">
      <w:pPr>
        <w:rPr>
          <w:rFonts w:cs="Segoe UI"/>
          <w:color w:val="000000"/>
        </w:rPr>
      </w:pPr>
      <w:r>
        <w:rPr>
          <w:rFonts w:cs="Segoe UI"/>
          <w:color w:val="000000"/>
        </w:rPr>
        <w:t>What are the</w:t>
      </w:r>
      <w:r w:rsidR="00D734A4" w:rsidRPr="00F3377B">
        <w:rPr>
          <w:rFonts w:cs="Segoe UI"/>
          <w:color w:val="000000"/>
        </w:rPr>
        <w:t xml:space="preserve"> misconceptions about </w:t>
      </w:r>
      <w:r>
        <w:rPr>
          <w:rFonts w:cs="Segoe UI"/>
          <w:color w:val="000000"/>
        </w:rPr>
        <w:t xml:space="preserve">how to handle </w:t>
      </w:r>
      <w:r w:rsidR="00D734A4" w:rsidRPr="00F3377B">
        <w:rPr>
          <w:rFonts w:cs="Segoe UI"/>
          <w:color w:val="000000"/>
        </w:rPr>
        <w:t>bullying</w:t>
      </w:r>
      <w:r w:rsidR="008E14B4">
        <w:rPr>
          <w:rFonts w:cs="Segoe UI"/>
          <w:color w:val="000000"/>
        </w:rPr>
        <w:t xml:space="preserve">? </w:t>
      </w:r>
      <w:r w:rsidR="00D734A4" w:rsidRPr="00F3377B">
        <w:rPr>
          <w:rFonts w:cs="Segoe UI"/>
          <w:color w:val="000000"/>
        </w:rPr>
        <w:t xml:space="preserve"> </w:t>
      </w:r>
      <w:r w:rsidR="008E14B4">
        <w:rPr>
          <w:rFonts w:cs="Segoe UI"/>
          <w:color w:val="000000"/>
        </w:rPr>
        <w:t>G</w:t>
      </w:r>
      <w:r w:rsidR="00514254">
        <w:rPr>
          <w:rFonts w:cs="Segoe UI"/>
          <w:color w:val="000000"/>
        </w:rPr>
        <w:t xml:space="preserve">ive an </w:t>
      </w:r>
      <w:r w:rsidR="00D734A4" w:rsidRPr="00F3377B">
        <w:rPr>
          <w:rFonts w:cs="Segoe UI"/>
          <w:color w:val="000000"/>
        </w:rPr>
        <w:t>alternative</w:t>
      </w:r>
      <w:r w:rsidR="00514254">
        <w:rPr>
          <w:rFonts w:cs="Segoe UI"/>
          <w:color w:val="000000"/>
        </w:rPr>
        <w:t xml:space="preserve"> re</w:t>
      </w:r>
      <w:r>
        <w:rPr>
          <w:rFonts w:cs="Segoe UI"/>
          <w:color w:val="000000"/>
        </w:rPr>
        <w:t>s</w:t>
      </w:r>
      <w:r w:rsidR="00514254">
        <w:rPr>
          <w:rFonts w:cs="Segoe UI"/>
          <w:color w:val="000000"/>
        </w:rPr>
        <w:t xml:space="preserve">ponse approach for each </w:t>
      </w:r>
      <w:r w:rsidR="008E14B4">
        <w:rPr>
          <w:rFonts w:cs="Segoe UI"/>
          <w:color w:val="000000"/>
        </w:rPr>
        <w:t>misdirection</w:t>
      </w:r>
      <w:r>
        <w:rPr>
          <w:rFonts w:cs="Segoe UI"/>
          <w:color w:val="000000"/>
        </w:rPr>
        <w:t>.</w:t>
      </w:r>
      <w:r w:rsidR="00514254">
        <w:rPr>
          <w:rFonts w:cs="Segoe UI"/>
          <w:color w:val="000000"/>
        </w:rPr>
        <w:t xml:space="preserve"> As you listen</w:t>
      </w:r>
      <w:r w:rsidR="00D734A4" w:rsidRPr="00F3377B">
        <w:rPr>
          <w:rFonts w:cs="Segoe UI"/>
          <w:color w:val="000000"/>
        </w:rPr>
        <w:t>, take not</w:t>
      </w:r>
      <w:r>
        <w:rPr>
          <w:rFonts w:cs="Segoe UI"/>
          <w:color w:val="000000"/>
        </w:rPr>
        <w:t>e</w:t>
      </w:r>
      <w:r w:rsidR="00514254">
        <w:rPr>
          <w:rFonts w:cs="Segoe UI"/>
          <w:color w:val="000000"/>
        </w:rPr>
        <w:t xml:space="preserve"> if you were unaware that these were fallacies</w:t>
      </w:r>
      <w:r w:rsidR="00D734A4" w:rsidRPr="00F3377B">
        <w:rPr>
          <w:rFonts w:cs="Segoe UI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4254" w:rsidTr="009C1FBA">
        <w:tc>
          <w:tcPr>
            <w:tcW w:w="4675" w:type="dxa"/>
            <w:shd w:val="clear" w:color="auto" w:fill="auto"/>
          </w:tcPr>
          <w:p w:rsidR="00514254" w:rsidRPr="009C1FBA" w:rsidRDefault="00514254" w:rsidP="00514254">
            <w:pPr>
              <w:jc w:val="center"/>
              <w:rPr>
                <w:rFonts w:cs="Segoe UI"/>
                <w:b/>
                <w:color w:val="000000"/>
              </w:rPr>
            </w:pPr>
            <w:proofErr w:type="spellStart"/>
            <w:r w:rsidRPr="009C1FBA">
              <w:rPr>
                <w:rFonts w:cs="Segoe UI"/>
                <w:b/>
                <w:color w:val="FF0000"/>
              </w:rPr>
              <w:t>Misdirections</w:t>
            </w:r>
            <w:proofErr w:type="spellEnd"/>
            <w:r w:rsidR="008E14B4">
              <w:rPr>
                <w:rFonts w:cs="Segoe UI"/>
                <w:b/>
                <w:color w:val="FF0000"/>
              </w:rPr>
              <w:t xml:space="preserve"> </w:t>
            </w:r>
            <w:r w:rsidR="009C1FBA">
              <w:rPr>
                <w:rFonts w:cs="Segoe UI"/>
                <w:b/>
                <w:color w:val="000000"/>
              </w:rPr>
              <w:t xml:space="preserve"> </w:t>
            </w:r>
            <w:r w:rsidR="009C1FBA">
              <w:rPr>
                <w:noProof/>
              </w:rPr>
              <w:drawing>
                <wp:inline distT="0" distB="0" distL="0" distR="0" wp14:anchorId="1127C235" wp14:editId="3D5234AF">
                  <wp:extent cx="116006" cy="1160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correc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7" cy="12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auto"/>
          </w:tcPr>
          <w:p w:rsidR="00514254" w:rsidRPr="00514254" w:rsidRDefault="00514254" w:rsidP="00514254">
            <w:pPr>
              <w:jc w:val="center"/>
              <w:rPr>
                <w:rFonts w:cs="Segoe UI"/>
                <w:b/>
                <w:color w:val="000000"/>
              </w:rPr>
            </w:pPr>
            <w:r w:rsidRPr="009C1FBA">
              <w:rPr>
                <w:rFonts w:cs="Segoe UI"/>
                <w:b/>
                <w:color w:val="33CC33"/>
              </w:rPr>
              <w:t>Alternative Solution</w:t>
            </w:r>
            <w:r w:rsidR="00992062">
              <w:rPr>
                <w:rFonts w:cs="Segoe UI"/>
                <w:b/>
                <w:color w:val="33CC33"/>
              </w:rPr>
              <w:t>s</w:t>
            </w:r>
            <w:r w:rsidR="009C1FBA" w:rsidRPr="009C1FBA">
              <w:rPr>
                <w:rFonts w:cs="Segoe UI"/>
                <w:b/>
                <w:color w:val="33CC33"/>
              </w:rPr>
              <w:t xml:space="preserve"> </w:t>
            </w:r>
            <w:r w:rsidR="009C1FBA">
              <w:rPr>
                <w:noProof/>
              </w:rPr>
              <w:drawing>
                <wp:inline distT="0" distB="0" distL="0" distR="0" wp14:anchorId="6D506547" wp14:editId="404A4569">
                  <wp:extent cx="106521" cy="12283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rec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8" cy="12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254" w:rsidTr="009C1FBA"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  <w:r w:rsidRPr="009C1FBA">
              <w:rPr>
                <w:rFonts w:cs="Segoe UI"/>
                <w:color w:val="000000"/>
              </w:rPr>
              <w:t>1.</w:t>
            </w:r>
          </w:p>
          <w:p w:rsidR="00992062" w:rsidRPr="009C1FBA" w:rsidRDefault="00992062" w:rsidP="00D734A4">
            <w:pPr>
              <w:rPr>
                <w:rFonts w:cs="Segoe UI"/>
                <w:color w:val="000000"/>
              </w:rPr>
            </w:pPr>
          </w:p>
          <w:p w:rsidR="00514254" w:rsidRPr="009C1FBA" w:rsidRDefault="00514254" w:rsidP="00D734A4">
            <w:pPr>
              <w:rPr>
                <w:rFonts w:cs="Segoe U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</w:p>
        </w:tc>
      </w:tr>
      <w:tr w:rsidR="00514254" w:rsidTr="009C1FBA"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  <w:r w:rsidRPr="009C1FBA">
              <w:rPr>
                <w:rFonts w:cs="Segoe UI"/>
                <w:color w:val="000000"/>
              </w:rPr>
              <w:t>2.</w:t>
            </w:r>
          </w:p>
          <w:p w:rsidR="00992062" w:rsidRPr="009C1FBA" w:rsidRDefault="00992062" w:rsidP="00D734A4">
            <w:pPr>
              <w:rPr>
                <w:rFonts w:cs="Segoe UI"/>
                <w:color w:val="000000"/>
              </w:rPr>
            </w:pPr>
          </w:p>
          <w:p w:rsidR="00514254" w:rsidRPr="009C1FBA" w:rsidRDefault="00514254" w:rsidP="00D734A4">
            <w:pPr>
              <w:rPr>
                <w:rFonts w:cs="Segoe U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</w:p>
        </w:tc>
      </w:tr>
      <w:tr w:rsidR="00514254" w:rsidTr="009C1FBA"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  <w:r w:rsidRPr="009C1FBA">
              <w:rPr>
                <w:rFonts w:cs="Segoe UI"/>
                <w:color w:val="000000"/>
              </w:rPr>
              <w:t>3.</w:t>
            </w:r>
          </w:p>
          <w:p w:rsidR="00992062" w:rsidRPr="009C1FBA" w:rsidRDefault="00992062" w:rsidP="00D734A4">
            <w:pPr>
              <w:rPr>
                <w:rFonts w:cs="Segoe UI"/>
                <w:color w:val="000000"/>
              </w:rPr>
            </w:pPr>
          </w:p>
          <w:p w:rsidR="00514254" w:rsidRPr="009C1FBA" w:rsidRDefault="00514254" w:rsidP="00D734A4">
            <w:pPr>
              <w:rPr>
                <w:rFonts w:cs="Segoe U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</w:p>
        </w:tc>
      </w:tr>
      <w:tr w:rsidR="00514254" w:rsidTr="009C1FBA"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  <w:r w:rsidRPr="009C1FBA">
              <w:rPr>
                <w:rFonts w:cs="Segoe UI"/>
                <w:color w:val="000000"/>
              </w:rPr>
              <w:t>4.</w:t>
            </w:r>
          </w:p>
          <w:p w:rsidR="00992062" w:rsidRPr="009C1FBA" w:rsidRDefault="00992062" w:rsidP="00D734A4">
            <w:pPr>
              <w:rPr>
                <w:rFonts w:cs="Segoe UI"/>
                <w:color w:val="000000"/>
              </w:rPr>
            </w:pPr>
          </w:p>
          <w:p w:rsidR="00514254" w:rsidRPr="009C1FBA" w:rsidRDefault="00514254" w:rsidP="00D734A4">
            <w:pPr>
              <w:rPr>
                <w:rFonts w:cs="Segoe U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</w:p>
        </w:tc>
      </w:tr>
      <w:tr w:rsidR="00514254" w:rsidTr="009C1FBA"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  <w:r w:rsidRPr="009C1FBA">
              <w:rPr>
                <w:rFonts w:cs="Segoe UI"/>
                <w:color w:val="000000"/>
              </w:rPr>
              <w:t>5.</w:t>
            </w:r>
          </w:p>
          <w:p w:rsidR="00992062" w:rsidRPr="009C1FBA" w:rsidRDefault="00992062" w:rsidP="00D734A4">
            <w:pPr>
              <w:rPr>
                <w:rFonts w:cs="Segoe UI"/>
                <w:color w:val="000000"/>
              </w:rPr>
            </w:pPr>
          </w:p>
          <w:p w:rsidR="00514254" w:rsidRPr="009C1FBA" w:rsidRDefault="00514254" w:rsidP="00D734A4">
            <w:pPr>
              <w:rPr>
                <w:rFonts w:cs="Segoe U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514254" w:rsidRDefault="00514254" w:rsidP="00D734A4">
            <w:pPr>
              <w:rPr>
                <w:rFonts w:cs="Segoe UI"/>
                <w:color w:val="000000"/>
              </w:rPr>
            </w:pPr>
          </w:p>
        </w:tc>
      </w:tr>
    </w:tbl>
    <w:p w:rsidR="00514254" w:rsidRPr="00F3377B" w:rsidRDefault="00514254" w:rsidP="00D734A4">
      <w:pPr>
        <w:rPr>
          <w:rFonts w:cs="Segoe UI"/>
          <w:color w:val="000000"/>
        </w:rPr>
      </w:pPr>
    </w:p>
    <w:p w:rsidR="00294726" w:rsidRDefault="00294726">
      <w:pPr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br w:type="page"/>
      </w:r>
    </w:p>
    <w:p w:rsidR="00F3377B" w:rsidRDefault="00F3377B" w:rsidP="00F3377B">
      <w:pPr>
        <w:ind w:firstLine="720"/>
        <w:rPr>
          <w:rFonts w:cs="Segoe UI"/>
          <w:color w:val="000000"/>
          <w:sz w:val="18"/>
          <w:szCs w:val="18"/>
        </w:rPr>
      </w:pPr>
      <w:bookmarkStart w:id="0" w:name="_GoBack"/>
      <w:bookmarkEnd w:id="0"/>
      <w:r>
        <w:rPr>
          <w:rFonts w:cs="Segoe UI"/>
          <w:color w:val="000000"/>
          <w:sz w:val="18"/>
          <w:szCs w:val="18"/>
        </w:rPr>
        <w:lastRenderedPageBreak/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4B4" w:rsidTr="00887C72">
        <w:tc>
          <w:tcPr>
            <w:tcW w:w="4675" w:type="dxa"/>
            <w:shd w:val="clear" w:color="auto" w:fill="auto"/>
          </w:tcPr>
          <w:p w:rsidR="008E14B4" w:rsidRPr="009C1FBA" w:rsidRDefault="008E14B4" w:rsidP="00887C72">
            <w:pPr>
              <w:jc w:val="center"/>
              <w:rPr>
                <w:rFonts w:cs="Segoe UI"/>
                <w:b/>
                <w:color w:val="000000"/>
              </w:rPr>
            </w:pPr>
            <w:proofErr w:type="spellStart"/>
            <w:r w:rsidRPr="009C1FBA">
              <w:rPr>
                <w:rFonts w:cs="Segoe UI"/>
                <w:b/>
                <w:color w:val="FF0000"/>
              </w:rPr>
              <w:t>Misdirections</w:t>
            </w:r>
            <w:proofErr w:type="spellEnd"/>
            <w:r>
              <w:rPr>
                <w:rFonts w:cs="Segoe UI"/>
                <w:b/>
                <w:color w:val="FF0000"/>
              </w:rPr>
              <w:t xml:space="preserve"> </w:t>
            </w:r>
            <w:r>
              <w:rPr>
                <w:rFonts w:cs="Segoe U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5B6F80" wp14:editId="28D1574B">
                  <wp:extent cx="116006" cy="11600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correc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7" cy="12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auto"/>
          </w:tcPr>
          <w:p w:rsidR="008E14B4" w:rsidRPr="00514254" w:rsidRDefault="008E14B4" w:rsidP="00887C72">
            <w:pPr>
              <w:jc w:val="center"/>
              <w:rPr>
                <w:rFonts w:cs="Segoe UI"/>
                <w:b/>
                <w:color w:val="000000"/>
              </w:rPr>
            </w:pPr>
            <w:r w:rsidRPr="009C1FBA">
              <w:rPr>
                <w:rFonts w:cs="Segoe UI"/>
                <w:b/>
                <w:color w:val="33CC33"/>
              </w:rPr>
              <w:t>Alternative Solution</w:t>
            </w:r>
            <w:r w:rsidR="00992062">
              <w:rPr>
                <w:rFonts w:cs="Segoe UI"/>
                <w:b/>
                <w:color w:val="33CC33"/>
              </w:rPr>
              <w:t xml:space="preserve">s </w:t>
            </w:r>
            <w:r w:rsidRPr="009C1FBA">
              <w:rPr>
                <w:rFonts w:cs="Segoe UI"/>
                <w:b/>
                <w:color w:val="33CC33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0EB144" wp14:editId="08B32917">
                  <wp:extent cx="106521" cy="1228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rec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8" cy="12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4B4" w:rsidTr="00887C72">
        <w:tc>
          <w:tcPr>
            <w:tcW w:w="4675" w:type="dxa"/>
            <w:shd w:val="clear" w:color="auto" w:fill="auto"/>
          </w:tcPr>
          <w:p w:rsidR="008E14B4" w:rsidRPr="008E14B4" w:rsidRDefault="008E14B4" w:rsidP="00887C72">
            <w:pPr>
              <w:pStyle w:val="ListParagraph"/>
              <w:numPr>
                <w:ilvl w:val="0"/>
                <w:numId w:val="1"/>
              </w:numPr>
            </w:pPr>
            <w:r w:rsidRPr="009C1FBA">
              <w:rPr>
                <w:rFonts w:cs="Segoe UI"/>
                <w:color w:val="000000"/>
              </w:rPr>
              <w:t>1.</w:t>
            </w:r>
            <w:r w:rsidRPr="008E14B4">
              <w:rPr>
                <w:b/>
                <w:color w:val="FF0000"/>
              </w:rPr>
              <w:t xml:space="preserve"> Zero Tolerance</w:t>
            </w:r>
            <w:r>
              <w:t>” (a.k.a. “</w:t>
            </w:r>
            <w:r w:rsidRPr="008E14B4">
              <w:rPr>
                <w:color w:val="FF0000"/>
              </w:rPr>
              <w:t>Three Strikes, You’re Out</w:t>
            </w:r>
            <w:r>
              <w:t xml:space="preserve">”) is NOT an effective disciplinary approach when dealing with bullying. It does not work because it’s unrealistic, and perceived as too harsh of a punishment that some will back down from mediating.  Zero Tolerance is better for dealing with weapons and cases of extreme violence. </w:t>
            </w:r>
          </w:p>
        </w:tc>
        <w:tc>
          <w:tcPr>
            <w:tcW w:w="4675" w:type="dxa"/>
            <w:shd w:val="clear" w:color="auto" w:fill="auto"/>
          </w:tcPr>
          <w:p w:rsidR="008E14B4" w:rsidRPr="008E14B4" w:rsidRDefault="008E14B4" w:rsidP="008E14B4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000000"/>
              </w:rPr>
            </w:pPr>
            <w:r>
              <w:t xml:space="preserve">Bullying should be dealt with in an </w:t>
            </w:r>
            <w:r w:rsidRPr="008E14B4">
              <w:rPr>
                <w:color w:val="33CC33"/>
              </w:rPr>
              <w:t>all-inclusive approach</w:t>
            </w:r>
            <w:r>
              <w:t>.</w:t>
            </w:r>
          </w:p>
        </w:tc>
      </w:tr>
      <w:tr w:rsidR="008E14B4" w:rsidTr="00887C72">
        <w:tc>
          <w:tcPr>
            <w:tcW w:w="4675" w:type="dxa"/>
            <w:shd w:val="clear" w:color="auto" w:fill="auto"/>
          </w:tcPr>
          <w:p w:rsidR="008E14B4" w:rsidRPr="008E14B4" w:rsidRDefault="008E14B4" w:rsidP="00887C72">
            <w:pPr>
              <w:pStyle w:val="ListParagraph"/>
              <w:numPr>
                <w:ilvl w:val="0"/>
                <w:numId w:val="2"/>
              </w:numPr>
            </w:pPr>
            <w:r w:rsidRPr="00D734A4">
              <w:rPr>
                <w:b/>
                <w:color w:val="FF0000"/>
              </w:rPr>
              <w:t>Peer Mediation</w:t>
            </w:r>
            <w:r w:rsidRPr="00D734A4">
              <w:rPr>
                <w:color w:val="FF0000"/>
              </w:rPr>
              <w:t xml:space="preserve"> </w:t>
            </w:r>
            <w:r>
              <w:t xml:space="preserve">as a conflict resolution approach is NOT </w:t>
            </w:r>
            <w:r w:rsidRPr="0057067A">
              <w:t>effective for bullying.  Because bullying is a form of abuse, face-to-face encoun</w:t>
            </w:r>
            <w:r w:rsidRPr="00DC0F07">
              <w:t>ter between perpetrator(s) and victim risks empowering the perpetrator.  The opposing sides are not on equal playing fields, so they cannot be expected to effectively resolve problems together.</w:t>
            </w:r>
          </w:p>
        </w:tc>
        <w:tc>
          <w:tcPr>
            <w:tcW w:w="4675" w:type="dxa"/>
            <w:shd w:val="clear" w:color="auto" w:fill="auto"/>
          </w:tcPr>
          <w:p w:rsidR="008E14B4" w:rsidRPr="008E14B4" w:rsidRDefault="008E14B4" w:rsidP="008E14B4">
            <w:pPr>
              <w:pStyle w:val="ListParagraph"/>
              <w:numPr>
                <w:ilvl w:val="0"/>
                <w:numId w:val="1"/>
              </w:numPr>
            </w:pPr>
            <w:r w:rsidRPr="008E14B4">
              <w:t xml:space="preserve">Deal with each party </w:t>
            </w:r>
            <w:r w:rsidRPr="008E14B4">
              <w:rPr>
                <w:color w:val="33CC33"/>
              </w:rPr>
              <w:t>separately</w:t>
            </w:r>
            <w:r>
              <w:t xml:space="preserve"> and </w:t>
            </w:r>
            <w:r w:rsidRPr="008E14B4">
              <w:rPr>
                <w:color w:val="33CC33"/>
              </w:rPr>
              <w:t>privately</w:t>
            </w:r>
            <w:r w:rsidRPr="008E14B4">
              <w:t>.</w:t>
            </w:r>
          </w:p>
          <w:p w:rsidR="008E14B4" w:rsidRDefault="008E14B4" w:rsidP="00887C72">
            <w:pPr>
              <w:rPr>
                <w:rFonts w:cs="Segoe UI"/>
                <w:color w:val="000000"/>
              </w:rPr>
            </w:pPr>
          </w:p>
        </w:tc>
      </w:tr>
      <w:tr w:rsidR="008E14B4" w:rsidTr="00887C72">
        <w:tc>
          <w:tcPr>
            <w:tcW w:w="4675" w:type="dxa"/>
            <w:shd w:val="clear" w:color="auto" w:fill="auto"/>
          </w:tcPr>
          <w:p w:rsidR="008E14B4" w:rsidRPr="008E14B4" w:rsidRDefault="008E14B4" w:rsidP="008E14B4">
            <w:pPr>
              <w:pStyle w:val="ListParagraph"/>
              <w:numPr>
                <w:ilvl w:val="0"/>
                <w:numId w:val="1"/>
              </w:numPr>
            </w:pPr>
            <w:r w:rsidRPr="00D734A4">
              <w:rPr>
                <w:b/>
                <w:color w:val="FF0000"/>
              </w:rPr>
              <w:t>Group Therapeutic Treatment</w:t>
            </w:r>
            <w:r w:rsidRPr="00D734A4">
              <w:rPr>
                <w:color w:val="FF0000"/>
              </w:rPr>
              <w:t xml:space="preserve"> </w:t>
            </w:r>
            <w:r w:rsidRPr="0057067A">
              <w:t xml:space="preserve">is not an effective approach to dealing with bullying.  It will likely reinforce the bullying behavior as it brings to surface the power differential. </w:t>
            </w:r>
          </w:p>
        </w:tc>
        <w:tc>
          <w:tcPr>
            <w:tcW w:w="4675" w:type="dxa"/>
            <w:shd w:val="clear" w:color="auto" w:fill="auto"/>
          </w:tcPr>
          <w:p w:rsidR="008E14B4" w:rsidRPr="008E14B4" w:rsidRDefault="008E14B4" w:rsidP="008E14B4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000000"/>
              </w:rPr>
            </w:pPr>
            <w:r w:rsidRPr="008E14B4">
              <w:rPr>
                <w:color w:val="33CC33"/>
              </w:rPr>
              <w:t>Individual therapy</w:t>
            </w:r>
            <w:r w:rsidRPr="0057067A">
              <w:t xml:space="preserve"> is recommended.</w:t>
            </w:r>
          </w:p>
        </w:tc>
      </w:tr>
      <w:tr w:rsidR="008E14B4" w:rsidTr="00887C72">
        <w:tc>
          <w:tcPr>
            <w:tcW w:w="4675" w:type="dxa"/>
            <w:shd w:val="clear" w:color="auto" w:fill="auto"/>
          </w:tcPr>
          <w:p w:rsidR="008E14B4" w:rsidRPr="006B29C4" w:rsidRDefault="008E14B4" w:rsidP="00887C72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000000"/>
              </w:rPr>
            </w:pPr>
            <w:proofErr w:type="spellStart"/>
            <w:r w:rsidRPr="008E14B4">
              <w:rPr>
                <w:b/>
                <w:color w:val="FF0000"/>
              </w:rPr>
              <w:t>Bullycide</w:t>
            </w:r>
            <w:proofErr w:type="spellEnd"/>
            <w:r w:rsidRPr="008E14B4">
              <w:rPr>
                <w:b/>
                <w:color w:val="FF0000"/>
              </w:rPr>
              <w:t xml:space="preserve"> </w:t>
            </w:r>
            <w:r w:rsidRPr="0057067A">
              <w:t xml:space="preserve">is a term to avoid using.  </w:t>
            </w:r>
            <w:r>
              <w:t xml:space="preserve">                                       </w:t>
            </w:r>
            <w:r w:rsidRPr="0057067A">
              <w:t>Bullying and suicide are separate issues,</w:t>
            </w:r>
            <w:r>
              <w:t xml:space="preserve"> </w:t>
            </w:r>
            <w:r w:rsidRPr="0057067A">
              <w:t>although often int</w:t>
            </w:r>
            <w:r w:rsidRPr="00DC0F07">
              <w:t>errelated.  The link betwe</w:t>
            </w:r>
            <w:r>
              <w:t xml:space="preserve">en the two issues is overstated </w:t>
            </w:r>
            <w:r w:rsidRPr="00DC0F07">
              <w:t xml:space="preserve">through </w:t>
            </w:r>
            <w:r>
              <w:t xml:space="preserve">the use of the hybrid term </w:t>
            </w:r>
            <w:proofErr w:type="spellStart"/>
            <w:r>
              <w:t>bully</w:t>
            </w:r>
            <w:r w:rsidRPr="00DC0F07">
              <w:t>cide</w:t>
            </w:r>
            <w:proofErr w:type="spellEnd"/>
            <w:r w:rsidRPr="00DC0F07">
              <w:t xml:space="preserve">.  It implies that the suicide was caused exclusively by the bullying.  Suicide is often caused by </w:t>
            </w:r>
            <w:r w:rsidR="006B29C4">
              <w:t>a combined multitude of factors.</w:t>
            </w:r>
          </w:p>
        </w:tc>
        <w:tc>
          <w:tcPr>
            <w:tcW w:w="4675" w:type="dxa"/>
            <w:shd w:val="clear" w:color="auto" w:fill="auto"/>
          </w:tcPr>
          <w:p w:rsidR="008E14B4" w:rsidRPr="008E14B4" w:rsidRDefault="008E14B4" w:rsidP="006B29C4">
            <w:pPr>
              <w:pStyle w:val="ListParagraph"/>
              <w:numPr>
                <w:ilvl w:val="0"/>
                <w:numId w:val="1"/>
              </w:numPr>
            </w:pPr>
            <w:r w:rsidRPr="008E14B4">
              <w:t xml:space="preserve">Use the terms </w:t>
            </w:r>
            <w:r w:rsidRPr="008E14B4">
              <w:rPr>
                <w:color w:val="33CC33"/>
              </w:rPr>
              <w:t>suicide</w:t>
            </w:r>
            <w:r w:rsidRPr="008E14B4">
              <w:t xml:space="preserve"> and </w:t>
            </w:r>
            <w:r w:rsidRPr="008E14B4">
              <w:rPr>
                <w:color w:val="33CC33"/>
              </w:rPr>
              <w:t>bullying</w:t>
            </w:r>
            <w:r w:rsidRPr="008E14B4">
              <w:t xml:space="preserve"> </w:t>
            </w:r>
            <w:r>
              <w:t xml:space="preserve">as different </w:t>
            </w:r>
            <w:r w:rsidR="00FB6E0A">
              <w:t>issues.</w:t>
            </w:r>
          </w:p>
          <w:p w:rsidR="008E14B4" w:rsidRPr="008E14B4" w:rsidRDefault="008E14B4" w:rsidP="008E14B4">
            <w:pPr>
              <w:pStyle w:val="ListParagraph"/>
              <w:rPr>
                <w:rFonts w:cs="Segoe UI"/>
                <w:color w:val="000000"/>
              </w:rPr>
            </w:pPr>
          </w:p>
        </w:tc>
      </w:tr>
      <w:tr w:rsidR="008E14B4" w:rsidTr="00887C72">
        <w:tc>
          <w:tcPr>
            <w:tcW w:w="4675" w:type="dxa"/>
            <w:shd w:val="clear" w:color="auto" w:fill="auto"/>
          </w:tcPr>
          <w:p w:rsidR="008E14B4" w:rsidRPr="006B29C4" w:rsidRDefault="006B29C4" w:rsidP="006B29C4">
            <w:pPr>
              <w:pStyle w:val="ListParagraph"/>
              <w:numPr>
                <w:ilvl w:val="0"/>
                <w:numId w:val="1"/>
              </w:numPr>
              <w:rPr>
                <w:rFonts w:cs="Segoe UI"/>
                <w:color w:val="000000"/>
              </w:rPr>
            </w:pPr>
            <w:r w:rsidRPr="006B29C4">
              <w:rPr>
                <w:rFonts w:cs="Segoe UI"/>
                <w:color w:val="FF0000"/>
              </w:rPr>
              <w:t xml:space="preserve">Simple, short-term oriented solutions </w:t>
            </w:r>
            <w:r>
              <w:rPr>
                <w:rFonts w:cs="Segoe UI"/>
                <w:color w:val="000000"/>
              </w:rPr>
              <w:t>are unlikely to reduce bullying.  One-day workshops, or Awareness Day events are not a comprehensive enough approach to deal with bullying.</w:t>
            </w:r>
          </w:p>
          <w:p w:rsidR="008E14B4" w:rsidRPr="009C1FBA" w:rsidRDefault="008E14B4" w:rsidP="00887C72">
            <w:pPr>
              <w:rPr>
                <w:rFonts w:cs="Segoe UI"/>
                <w:color w:val="000000"/>
              </w:rPr>
            </w:pPr>
          </w:p>
        </w:tc>
        <w:tc>
          <w:tcPr>
            <w:tcW w:w="4675" w:type="dxa"/>
            <w:shd w:val="clear" w:color="auto" w:fill="auto"/>
          </w:tcPr>
          <w:p w:rsidR="008E14B4" w:rsidRPr="006B29C4" w:rsidRDefault="006B29C4" w:rsidP="006B29C4">
            <w:pPr>
              <w:pStyle w:val="ListParagraph"/>
              <w:numPr>
                <w:ilvl w:val="0"/>
                <w:numId w:val="1"/>
              </w:numPr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Need </w:t>
            </w:r>
            <w:r w:rsidRPr="006B29C4">
              <w:rPr>
                <w:rFonts w:cs="Segoe UI"/>
                <w:color w:val="33CC33"/>
              </w:rPr>
              <w:t>comprehensive, on-going education</w:t>
            </w:r>
            <w:r>
              <w:rPr>
                <w:rFonts w:cs="Segoe UI"/>
                <w:color w:val="000000"/>
              </w:rPr>
              <w:t xml:space="preserve"> based approaches, which involve hands-on </w:t>
            </w:r>
            <w:r w:rsidRPr="006B29C4">
              <w:rPr>
                <w:rFonts w:cs="Segoe UI"/>
                <w:color w:val="33CC33"/>
              </w:rPr>
              <w:t>activities</w:t>
            </w:r>
            <w:r>
              <w:rPr>
                <w:rFonts w:cs="Segoe UI"/>
                <w:color w:val="000000"/>
              </w:rPr>
              <w:t>.</w:t>
            </w:r>
          </w:p>
        </w:tc>
      </w:tr>
    </w:tbl>
    <w:p w:rsidR="00D734A4" w:rsidRPr="00DC0F07" w:rsidRDefault="00D734A4" w:rsidP="00FB6E0A">
      <w:pPr>
        <w:pStyle w:val="ListParagraph"/>
      </w:pPr>
    </w:p>
    <w:p w:rsidR="008E14B4" w:rsidRDefault="008E14B4" w:rsidP="00F3377B"/>
    <w:p w:rsidR="005145C5" w:rsidRDefault="005145C5">
      <w:pPr>
        <w:rPr>
          <w:rStyle w:val="Strong"/>
          <w:rFonts w:ascii="Arial" w:eastAsia="Times New Roman" w:hAnsi="Arial" w:cs="Arial"/>
          <w:color w:val="2B2D2F"/>
          <w:sz w:val="27"/>
          <w:szCs w:val="27"/>
          <w:lang w:val="en"/>
        </w:rPr>
      </w:pPr>
    </w:p>
    <w:sectPr w:rsidR="0051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7pt;height:181pt;visibility:visible;mso-wrap-style:square" o:bullet="t">
        <v:imagedata r:id="rId1" o:title=""/>
      </v:shape>
    </w:pict>
  </w:numPicBullet>
  <w:numPicBullet w:numPicBulletId="1">
    <w:pict>
      <v:shape id="_x0000_i1043" type="#_x0000_t75" style="width:262.5pt;height:262.5pt;visibility:visible;mso-wrap-style:square" o:bullet="t">
        <v:imagedata r:id="rId2" o:title=""/>
      </v:shape>
    </w:pict>
  </w:numPicBullet>
  <w:abstractNum w:abstractNumId="0" w15:restartNumberingAfterBreak="0">
    <w:nsid w:val="0B020BE3"/>
    <w:multiLevelType w:val="hybridMultilevel"/>
    <w:tmpl w:val="FEDCC6A0"/>
    <w:lvl w:ilvl="0" w:tplc="A64AEF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278B3"/>
    <w:multiLevelType w:val="hybridMultilevel"/>
    <w:tmpl w:val="FEDCC6A0"/>
    <w:lvl w:ilvl="0" w:tplc="A64AEF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4"/>
    <w:rsid w:val="00130D61"/>
    <w:rsid w:val="00294726"/>
    <w:rsid w:val="004A48B8"/>
    <w:rsid w:val="00514254"/>
    <w:rsid w:val="005145C5"/>
    <w:rsid w:val="00515684"/>
    <w:rsid w:val="006B29C4"/>
    <w:rsid w:val="00740AFF"/>
    <w:rsid w:val="0087194E"/>
    <w:rsid w:val="008E14B4"/>
    <w:rsid w:val="00992062"/>
    <w:rsid w:val="009C1FBA"/>
    <w:rsid w:val="00D734A4"/>
    <w:rsid w:val="00F3377B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F3A6C-8541-4D12-BF4A-9A4DF182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A4"/>
  </w:style>
  <w:style w:type="paragraph" w:styleId="Heading3">
    <w:name w:val="heading 3"/>
    <w:basedOn w:val="Normal"/>
    <w:link w:val="Heading3Char"/>
    <w:uiPriority w:val="9"/>
    <w:qFormat/>
    <w:rsid w:val="005145C5"/>
    <w:pPr>
      <w:spacing w:before="308" w:after="82" w:line="308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4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45C5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5145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45C5"/>
    <w:pPr>
      <w:spacing w:after="33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">
    <w:name w:val="ext"/>
    <w:basedOn w:val="DefaultParagraphFont"/>
    <w:rsid w:val="005145C5"/>
  </w:style>
  <w:style w:type="table" w:styleId="TableGrid">
    <w:name w:val="Table Grid"/>
    <w:basedOn w:val="TableNormal"/>
    <w:uiPriority w:val="39"/>
    <w:rsid w:val="0051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09405">
                  <w:marLeft w:val="0"/>
                  <w:marRight w:val="-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hyperlink" Target="http://www.stopbullying.gov/videos/2012/08/misdirectio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jpigeon</dc:creator>
  <cp:keywords/>
  <dc:description/>
  <cp:lastModifiedBy>jpigeon</cp:lastModifiedBy>
  <cp:revision>8</cp:revision>
  <dcterms:created xsi:type="dcterms:W3CDTF">2015-09-14T18:25:00Z</dcterms:created>
  <dcterms:modified xsi:type="dcterms:W3CDTF">2015-09-15T17:21:00Z</dcterms:modified>
</cp:coreProperties>
</file>